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黑体" w:hAnsi="黑体" w:eastAsia="黑体"/>
          <w:sz w:val="32"/>
          <w:szCs w:val="36"/>
        </w:rPr>
      </w:pPr>
      <w:r>
        <w:rPr>
          <w:rFonts w:hint="eastAsia" w:ascii="黑体" w:hAnsi="黑体" w:eastAsia="黑体"/>
          <w:sz w:val="28"/>
          <w:szCs w:val="32"/>
        </w:rPr>
        <w:t>附件：</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sz w:val="20"/>
          <w:szCs w:val="21"/>
        </w:rPr>
      </w:pPr>
      <w:r>
        <w:rPr>
          <w:rFonts w:hint="eastAsia" w:ascii="方正小标宋_GBK" w:hAnsi="方正小标宋_GBK" w:eastAsia="方正小标宋_GBK" w:cs="方正小标宋_GBK"/>
          <w:sz w:val="40"/>
          <w:szCs w:val="40"/>
        </w:rPr>
        <w:t>重庆市教育评估研究会20</w:t>
      </w:r>
      <w:r>
        <w:rPr>
          <w:rFonts w:hint="eastAsia" w:ascii="方正小标宋_GBK" w:hAnsi="方正小标宋_GBK" w:eastAsia="方正小标宋_GBK" w:cs="方正小标宋_GBK"/>
          <w:sz w:val="40"/>
          <w:szCs w:val="40"/>
          <w:lang w:val="en-US" w:eastAsia="zh-CN"/>
        </w:rPr>
        <w:t>22</w:t>
      </w:r>
      <w:r>
        <w:rPr>
          <w:rFonts w:hint="eastAsia" w:ascii="方正小标宋_GBK" w:hAnsi="方正小标宋_GBK" w:eastAsia="方正小标宋_GBK" w:cs="方正小标宋_GBK"/>
          <w:sz w:val="40"/>
          <w:szCs w:val="40"/>
        </w:rPr>
        <w:t>年度立项课题名单</w:t>
      </w:r>
    </w:p>
    <w:p>
      <w:pPr>
        <w:widowControl/>
        <w:jc w:val="center"/>
        <w:rPr>
          <w:rFonts w:hint="eastAsia"/>
          <w:b/>
        </w:rPr>
      </w:pPr>
    </w:p>
    <w:p>
      <w:pPr>
        <w:widowControl/>
        <w:jc w:val="center"/>
        <w:rPr>
          <w:b/>
          <w:sz w:val="28"/>
          <w:szCs w:val="32"/>
        </w:rPr>
      </w:pPr>
      <w:r>
        <w:rPr>
          <w:rFonts w:hint="eastAsia"/>
          <w:b/>
          <w:sz w:val="28"/>
          <w:szCs w:val="32"/>
        </w:rPr>
        <w:t>重点课题（</w:t>
      </w:r>
      <w:r>
        <w:rPr>
          <w:rFonts w:hint="eastAsia" w:ascii="Times New Roman" w:hAnsi="Times New Roman" w:cs="Times New Roman"/>
          <w:b/>
          <w:sz w:val="28"/>
          <w:szCs w:val="32"/>
          <w:lang w:val="en-US" w:eastAsia="zh-CN"/>
        </w:rPr>
        <w:t>70</w:t>
      </w:r>
      <w:r>
        <w:rPr>
          <w:rFonts w:hint="eastAsia"/>
          <w:b/>
          <w:sz w:val="28"/>
          <w:szCs w:val="32"/>
        </w:rPr>
        <w:t>项</w:t>
      </w:r>
      <w:r>
        <w:rPr>
          <w:b/>
          <w:sz w:val="28"/>
          <w:szCs w:val="32"/>
        </w:rPr>
        <w:t>）</w:t>
      </w:r>
    </w:p>
    <w:tbl>
      <w:tblPr>
        <w:tblStyle w:val="2"/>
        <w:tblW w:w="9843" w:type="dxa"/>
        <w:tblInd w:w="138" w:type="dxa"/>
        <w:tblLayout w:type="fixed"/>
        <w:tblCellMar>
          <w:top w:w="0" w:type="dxa"/>
          <w:left w:w="108" w:type="dxa"/>
          <w:bottom w:w="0" w:type="dxa"/>
          <w:right w:w="108" w:type="dxa"/>
        </w:tblCellMar>
      </w:tblPr>
      <w:tblGrid>
        <w:gridCol w:w="1343"/>
        <w:gridCol w:w="4579"/>
        <w:gridCol w:w="2643"/>
        <w:gridCol w:w="1278"/>
      </w:tblGrid>
      <w:tr>
        <w:tblPrEx>
          <w:tblCellMar>
            <w:top w:w="0" w:type="dxa"/>
            <w:left w:w="108" w:type="dxa"/>
            <w:bottom w:w="0" w:type="dxa"/>
            <w:right w:w="108" w:type="dxa"/>
          </w:tblCellMar>
        </w:tblPrEx>
        <w:trPr>
          <w:trHeight w:val="554" w:hRule="atLeas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课题编号</w:t>
            </w:r>
          </w:p>
        </w:tc>
        <w:tc>
          <w:tcPr>
            <w:tcW w:w="45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2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  位</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主持人</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PJY2022001</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园本课程质量评价研究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西南大学教育学部</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杨晓萍</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PJY2022002</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基于数据挖掘的课程教学评价与预警研究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廖国敏</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PJY2022003</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高职院校实践教学评价体系一体化构建研究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王晓彤</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PJY2022004</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五育并举视域下高职院校学生综合素质评价研究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重庆财经职业学院</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张小国</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PJY2022005</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基于学生发展核心素养提升的高职德育评价体系研究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重庆文化艺术职业学院</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胡楠楠</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PJY2022006</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小学安全教育课程评价体系构建及应用</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重庆市教育评估院</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谭  画</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PJY2022007</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“一带一路”视阈下重庆市高等教育留学生教育质量保障体系构建研究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重庆市教育评估院</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周师宇</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PJY2022008</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“双减”背景下基于学生过程性成长评价的 “成长大课堂”实践策略研究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荣昌区教师进修学校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余晓堰</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PJY2022009</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中华优秀传统文化在预防中职学生罪错行为中的功效研究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黔江区民族职业教育中心</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王  娟</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PJY2022010</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基于核心素养的高中生物学教学与劳动教育的融合研究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黔江新华中学校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曾贤辉</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PJY2022011</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新高考下区县高中考试与命题改革实践研究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黔江中学校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夏国俊</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PJY2022012</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基于初中生物新课标优化综合实践活动课程的实施路径研究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涪陵第十四中学校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许  萍</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PJY2022013</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双减”背景下课堂教学效能提升研究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涪陵第五中学校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吴胜萍</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PJY2022014</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“双新”背景下高中语文多维融合的逻辑单元教学实践研究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渝中区求精中学校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陆  敏</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PJY2022015</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以高中生核心素养为导向的课堂教学变革研究—以语文学科课堂变革为例</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永川区北山中学校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刘申梅</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PJY2022016</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基于项目式的城市初中劳动教育实践课程开发与实施研究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永川区兴龙湖中学校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吴  涤</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PJY2022017</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新高考背景下高中历史课堂深度学习的实施路径研究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永川区中学校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童永川</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PJY2022018</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“双减”背景下学校作业优化与实施研究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永川区中学校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谭  怡</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PJY2022019</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新课标下的初中数学“教—学—评一致性”研究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南川道南中学校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谭扬权</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PJY2022020</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义务教育阶段初中语文作业评价实践研究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铜梁一中</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张中海</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PJY2022021</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基于核心素养的高中英语单元教学设计与实施</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铜梁二中</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周良波</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PJY2022022</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新时代初中劳动教育课程的实施路径与评价研究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铜梁区巴川初级中学校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夏鸿铭</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PJY2022023</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基于核心素养的初中数学“图形与几何”大单元教学设计与实践研究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潼南中学校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陈  伟</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PJY2022024</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低浪费“三为”、“四定”背景下高中数学课堂教学评价研究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2"/>
                <w:lang w:val="en-US"/>
              </w:rPr>
            </w:pPr>
            <w:r>
              <w:rPr>
                <w:rFonts w:hint="eastAsia" w:ascii="宋体" w:hAnsi="宋体" w:eastAsia="宋体" w:cs="宋体"/>
                <w:i w:val="0"/>
                <w:iCs w:val="0"/>
                <w:color w:val="000000"/>
                <w:kern w:val="0"/>
                <w:sz w:val="24"/>
                <w:szCs w:val="24"/>
                <w:u w:val="none"/>
                <w:lang w:val="en-US" w:eastAsia="zh-CN" w:bidi="ar"/>
              </w:rPr>
              <w:t>荣昌中学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陶光利</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PJY2022025</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“双减”背景下提升初中美术教学质量的策略研究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丰都县平都中学校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唐小明</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PJY2022026</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农村中学提升课后服务质量的实践策略</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忠县民族中学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陶斯国</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PJY2022027</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基于学生核心素养增强学校德育工作实效的模式与策略研究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奉节县永安中学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李素冰</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PJY2022028</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基于新课标背景下初中道德与法治学科教-学-评一致性实施的研究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奉节县巴蜀渝东中学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栗绍军</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PJY2022029</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基于史料实证的高中历史作业设计研究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石柱中学校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肖　龙</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PJY2022030</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基于核心素养的高中作文评价研究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秀山高级中学校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白明忠</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PJY2022031</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双减背景下综合实践课程的开发与实施</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重庆市第一中学校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吴青霞</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PJY2022032</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普通高中家校共育班本课程的开发与实践研究评估</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重庆市第四十九中学校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胡淑英</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PJY2022033</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基于核心素养的高中英语五步两评写作教学模式构建的研究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重庆市第四十九中学校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张箐颖</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PJY2022034</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“双减”背景下小学语文高段作业设计优化与实施的研究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黔江区育才小学校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邱凤莲</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PJY2022035</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小学生校内课后服务现状及提升策略研究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黔江区人民小学校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程  超</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PJY2022036</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核心素养导向的小学课堂教学变革研究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黔江区民族小学校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龚文兵</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PJY2022037</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“双减”政策下少数民族地区小学生综合素质评价的有效性研究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黔江区万涛中心小学校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罗剑恩</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PJY2022038</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“双减”背景下小学语数作业优化设计与评价实践研究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涪陵城区第七小学校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冉光彬</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PJY2022039</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新课标下小学数学大单元教学评一体化设计实践研究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涪陵城区实验小学校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夏  丽</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PJY2022040</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双减背景下城区小学生心理素质评价及培养路径研究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南岸区江南小学校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陈  坤</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PJY2022041</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新课标下的小学课堂“教-学-评一致性”实践研究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永川区文昌路红旗小学校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钟  淑</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PJY2022042</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基于核心素养的小学数学作业设计评价研究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南川区九鼎山小学校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吴  佳</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PJY2022043</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构建回归教学本位的教师评价体系研究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大足区第三小学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钟宇霞</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PJY2022044</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“双减”背景下小学德育评价模式研究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潼南区大佛小学校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谭红梅</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PJY2022045</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双减背景下提升课堂效能的策略研究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梁平区紫竹小学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许  平</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PJY2022046</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基于核心素养的小学高质量作业设计研究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开州区汉丰第七小学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刘勤学</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PJY2022047</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基于五育融合的“共美”校本课程实施与评价研究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开州区文峰小学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阳  平</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PJY2022048</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 xml:space="preserve">基于审美教育的“非遗文化”融入小学艺术课程的实施与评价研究       </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开州区歇马小学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张前波</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PJY2022049</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城镇小学生综合素质德育发展性评价策略研究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酉阳自治县酉州小学校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莫德华</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PJY2022050</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“和美少年”学生成长评价体系构建研究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万盛经开区和平小学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邹  翔</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PJY2022051</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新时代中小学教师科研素养提升的课程开发与实施研究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万盛经济技术开发区教师进修学校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石  莉</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PJY2022052</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基于核心素养的小学数学单元整体教学设计实施策略研究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两江新区教育发展研究院</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潘婷婷</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PJY2022053</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“幼小衔接”视域下小学一年级学生“生活适应教育”研究与评价</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两江新区金山小学校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邓熊英</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PJY2022054</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基于核心素养的小学数学实践型长作业设计策略研究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两江新区万年路小学校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张  良</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PJY2022055</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“双减”背景下基于数据驱动的低 年级学生学业质量评价实践探究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两江新区橡树湾小学校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廖  红</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PJY2022056</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基于“向儿童学习”的自然生态劳动课程开发的实践研究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两江新区童心青禾小学校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李婷婷</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PJY2022057</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素养背景下实用性阅读与交流任务群教学评价研究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两江新区人民小学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宋可耕</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PJY2022058</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“双减”背景下小学多学科融合性作业设计与实践研究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两江新区人民小学</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陈丽霞</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PJY2022059</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“双减”背景下小学语文阅读教学中渗透心理健康教育的策略研究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两江新区星光学校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李  霞</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PJY2022060</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基于儿童社会化学习的数字德育评价体系研究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两江新区重光小学校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李  斌</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PJY2022061</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核心素养导向下构建小学语文低段学业质量评价体系的实践研究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两江新区重光小学校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吴冬梅</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PJY2022062</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基于核心素养的小学语文问思辨单元统整教学设计与实施</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两江新区重光小学校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杨冬梅</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PJY2022063</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基于“当家”文化的小学家庭教育课程实施与评价研究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两江新区康庄美地第二小学校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徐  静</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PJY2022064</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新课标下小学英语教学中“教—学—评一致性”的策略研究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两江新区康庄美地第二小学校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刘春香</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PJY2022065</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小学一二年级语文“非纸笔测试”评价工具的研究与应用</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两江新区金州小学校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唐雪梅</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PJY2022066</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适应幼小衔接的教师胜任力模型建构与发展策略研究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两江新区金州小学校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刘  晴</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PJY2022067</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1"/>
                <w:szCs w:val="21"/>
                <w:u w:val="none"/>
                <w:lang w:val="en-US" w:eastAsia="zh-CN" w:bidi="ar"/>
              </w:rPr>
              <w:t>五育融合</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视域下依托信息化提升学生综合素质评价有效性的实证研究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大渡口区慧泉小学校</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陈永富</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PJY2022068</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以兴趣为核心的幼儿走班制课程实践研究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涪陵区级机关幼儿园</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黄春兰</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PJY2022069</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非遗文化在幼儿艺术领域的实践及评价研究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秀山县学林幼儿园</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魏  玲</w:t>
            </w:r>
          </w:p>
        </w:tc>
      </w:tr>
      <w:tr>
        <w:tblPrEx>
          <w:tblCellMar>
            <w:top w:w="0" w:type="dxa"/>
            <w:left w:w="108" w:type="dxa"/>
            <w:bottom w:w="0" w:type="dxa"/>
            <w:right w:w="108" w:type="dxa"/>
          </w:tblCellMar>
        </w:tblPrEx>
        <w:trPr>
          <w:trHeight w:val="624" w:hRule="exact"/>
        </w:trPr>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PJY2022070</w:t>
            </w:r>
          </w:p>
        </w:tc>
        <w:tc>
          <w:tcPr>
            <w:tcW w:w="4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幼儿园礼仪教育实践及评价体系研究</w:t>
            </w:r>
          </w:p>
        </w:tc>
        <w:tc>
          <w:tcPr>
            <w:tcW w:w="2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4"/>
                <w:szCs w:val="24"/>
                <w:u w:val="none"/>
                <w:lang w:val="en-US" w:eastAsia="zh-CN" w:bidi="ar"/>
              </w:rPr>
              <w:t>秀山县实验婴幼园</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5"/>
                <w:rFonts w:hint="eastAsia"/>
                <w:i w:val="0"/>
                <w:color w:val="000000"/>
                <w:lang w:val="en-US" w:eastAsia="zh-CN" w:bidi="ar"/>
              </w:rPr>
            </w:pPr>
            <w:r>
              <w:rPr>
                <w:rFonts w:hint="eastAsia" w:ascii="宋体" w:hAnsi="宋体" w:eastAsia="宋体" w:cs="宋体"/>
                <w:i w:val="0"/>
                <w:iCs w:val="0"/>
                <w:color w:val="000000"/>
                <w:kern w:val="0"/>
                <w:sz w:val="24"/>
                <w:szCs w:val="24"/>
                <w:u w:val="none"/>
                <w:lang w:val="en-US" w:eastAsia="zh-CN" w:bidi="ar"/>
              </w:rPr>
              <w:t>曾  梅</w:t>
            </w:r>
          </w:p>
        </w:tc>
      </w:tr>
    </w:tbl>
    <w:p>
      <w:pPr>
        <w:widowControl/>
        <w:jc w:val="center"/>
        <w:rPr>
          <w:rFonts w:hint="eastAsia"/>
          <w:b/>
          <w:sz w:val="28"/>
          <w:szCs w:val="32"/>
        </w:rPr>
      </w:pPr>
      <w:r>
        <w:rPr>
          <w:rFonts w:hint="eastAsia"/>
          <w:b/>
          <w:sz w:val="28"/>
          <w:szCs w:val="32"/>
        </w:rPr>
        <w:t>一般课题（</w:t>
      </w:r>
      <w:r>
        <w:rPr>
          <w:rFonts w:hint="eastAsia"/>
          <w:b/>
          <w:sz w:val="28"/>
          <w:szCs w:val="32"/>
          <w:lang w:val="en-US" w:eastAsia="zh-CN"/>
        </w:rPr>
        <w:t>206</w:t>
      </w:r>
      <w:r>
        <w:rPr>
          <w:rFonts w:hint="eastAsia"/>
          <w:b/>
          <w:sz w:val="28"/>
          <w:szCs w:val="32"/>
        </w:rPr>
        <w:t>项）</w:t>
      </w:r>
    </w:p>
    <w:tbl>
      <w:tblPr>
        <w:tblStyle w:val="3"/>
        <w:tblW w:w="9871"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4551"/>
        <w:gridCol w:w="267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spacing w:line="480" w:lineRule="auto"/>
              <w:jc w:val="center"/>
              <w:textAlignment w:val="center"/>
              <w:rPr>
                <w:rFonts w:hint="eastAsia"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课题编号</w:t>
            </w:r>
          </w:p>
        </w:tc>
        <w:tc>
          <w:tcPr>
            <w:tcW w:w="4551" w:type="dxa"/>
            <w:vAlign w:val="center"/>
          </w:tcPr>
          <w:p>
            <w:pPr>
              <w:keepNext w:val="0"/>
              <w:keepLines w:val="0"/>
              <w:widowControl/>
              <w:suppressLineNumbers w:val="0"/>
              <w:spacing w:line="480" w:lineRule="auto"/>
              <w:jc w:val="center"/>
              <w:textAlignment w:val="center"/>
              <w:rPr>
                <w:rFonts w:hint="eastAsia"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项目名称</w:t>
            </w:r>
          </w:p>
        </w:tc>
        <w:tc>
          <w:tcPr>
            <w:tcW w:w="2672" w:type="dxa"/>
            <w:vAlign w:val="center"/>
          </w:tcPr>
          <w:p>
            <w:pPr>
              <w:keepNext w:val="0"/>
              <w:keepLines w:val="0"/>
              <w:widowControl/>
              <w:suppressLineNumbers w:val="0"/>
              <w:spacing w:line="480" w:lineRule="auto"/>
              <w:jc w:val="center"/>
              <w:textAlignment w:val="center"/>
              <w:rPr>
                <w:rFonts w:hint="eastAsia"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 xml:space="preserve"> 单  位</w:t>
            </w:r>
          </w:p>
        </w:tc>
        <w:tc>
          <w:tcPr>
            <w:tcW w:w="1277" w:type="dxa"/>
            <w:vAlign w:val="center"/>
          </w:tcPr>
          <w:p>
            <w:pPr>
              <w:keepNext w:val="0"/>
              <w:keepLines w:val="0"/>
              <w:widowControl/>
              <w:suppressLineNumbers w:val="0"/>
              <w:spacing w:line="480" w:lineRule="auto"/>
              <w:jc w:val="center"/>
              <w:textAlignment w:val="center"/>
              <w:rPr>
                <w:rFonts w:hint="eastAsia" w:ascii="Times New Roman" w:hAnsi="Times New Roman" w:eastAsia="宋体" w:cs="Times New Roman"/>
                <w:b/>
                <w:bCs/>
                <w:i w:val="0"/>
                <w:iCs w:val="0"/>
                <w:color w:val="000000"/>
                <w:kern w:val="0"/>
                <w:sz w:val="24"/>
                <w:szCs w:val="24"/>
                <w:u w:val="none"/>
                <w:lang w:val="en-US" w:eastAsia="zh-CN" w:bidi="ar"/>
              </w:rPr>
            </w:pPr>
            <w:r>
              <w:rPr>
                <w:rFonts w:hint="eastAsia" w:ascii="Times New Roman" w:hAnsi="Times New Roman" w:eastAsia="宋体" w:cs="Times New Roman"/>
                <w:b/>
                <w:bCs/>
                <w:i w:val="0"/>
                <w:iCs w:val="0"/>
                <w:color w:val="000000"/>
                <w:kern w:val="0"/>
                <w:sz w:val="24"/>
                <w:szCs w:val="24"/>
                <w:u w:val="none"/>
                <w:lang w:val="en-US" w:eastAsia="zh-CN" w:bidi="ar"/>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PJY2022071</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“双减”背景下重庆市中小学课后体育服务高质量发展路径研究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重庆电子工程职业学院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徐  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PJY2022072</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促学评价视域下高职英语课程的评价改革研究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重庆电子工程职业学院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刘亭亭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PJY2022073</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在新时代艺术教育背景下职业本科美育与思政教育融合实践研究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重庆机电职业技术大学</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蒋雷艳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PJY2022074</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职业核心素养导向的高职建筑装饰类专业教学变革研究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夏洪波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PJY2022075</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新时代高职建筑设计类专业艺术教育评价研究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周俊华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PJY2022076</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中国传统文化融入国际学生专业课程的实施路径研究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江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PJY2022077</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职业教育应用型技术人才培养的课堂实施路径研究-案例全过程教学</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刘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PJY2022078</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基于学生核心素养的德育实施策略研究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满先慧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PJY2022079</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重庆乡村振兴背景下新乡村中小学综合教育评价研究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王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PJY2022080</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高职院校教师新商科大数据融合能力提升研究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任  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PJY2022081</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协同育人背景下高职院校课程思政教学评价研究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周亚蓉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PJY2022082</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乡村振兴背景下高职课程教学优化与实施研究-以《物联网综合技能》课程为例</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夏先玉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PJY2022083</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高职院校市场营销专业课程思政教学评价指标体系构建及实证研究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费文美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PJY2022084</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“双高计划”背景下高职院校学生评价方法和评价体系研究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陈  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PJY2022085</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职业教育高质量发展下融合教学难点突破路径研究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唐代芬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PJY2022086</w:t>
            </w:r>
          </w:p>
        </w:tc>
        <w:tc>
          <w:tcPr>
            <w:tcW w:w="45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基于德智体美劳五育并举的智能制造工程专业课程体系构建与评价研究</w:t>
            </w:r>
          </w:p>
        </w:tc>
        <w:tc>
          <w:tcPr>
            <w:tcW w:w="267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陈亚娟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PJY2022087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基于教学评一体化的《电子技术基础》大单元教学设计研究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郭锦景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PJY2022088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教育现代化背景下民办高职院校给排水工程类专业转型发展研究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李爱菊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PJY2022089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1+X证书制度下高职院校增值 评价体系研究与实践</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张会利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技能型人才培养评价体系下高职数学课程智慧化设计的多视角研究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黄庆波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后疫情时代下VR技术在高职院校艺术类课程教学模式中的应用研究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唐偲祺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基于“岗课赛证”融通的高职院校课程考评实践与研究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重庆建筑科技职业学院</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叶颖娟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基于核心素养培养的高职英语课堂教学变革研究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重庆科创职业学院</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衡清芝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新时代职业启蒙教育课程开发策略研究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重庆财经职业学院</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向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基于学科核心素养导向的文化基础学科的教学变革研究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重庆市南丁卫生职业学校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梁文琴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基于双减背景下小学科技活动延时服务案例的创新研究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江北区教师进修学院</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卢文超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“五育融合”视域下中小学劳动教育课程群构建与实践研究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  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基于教学评一体化的高中地理大单元教学设计研究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南川区教师进修校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夏  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PJY2022099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新课标下的小学道德与法治“教-学-评一致性”的研究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铜梁区李朝飞校长工作室</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杨世傧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“双减”背景下农村小学低段数学课堂教学评价策略研究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铜梁区李朝飞校长工作室</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王光强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基于核心素养的中学数学单元教学设计与实施研究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铜梁区教师进修学校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严贵洪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新课标下小学英语“教学评一致性”教学设计研究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铜梁区教师进修学校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徐  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少先队活动仪式的构建和评价研究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铜梁区青少年综合实践基地</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逯丽平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新时代区域推进中小学教育科研工作评价研究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许海艳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区域教育信息系统的开发策略与实践路径研究</w:t>
            </w:r>
          </w:p>
        </w:tc>
        <w:tc>
          <w:tcPr>
            <w:tcW w:w="2672"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荣昌区教育技术装备与会计核算中心</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陈明均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基于核心素养的小学高质量实践活动作业设计研究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忠县教师进修学校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叶小萍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新时代教育评价改革背景下初中道德与法治课程资源开发与利用研究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秀山县教师进修学校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周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初中地理实践活动资源的开发应用与评价研究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秀山县教师进修学校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PJY2022109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新时代初中数学考试评价优化的区域实践与研究</w:t>
            </w:r>
          </w:p>
        </w:tc>
        <w:tc>
          <w:tcPr>
            <w:tcW w:w="2672"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万盛经济技术开发区教师进修学校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犹广江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基于新课程标准的小学语文学业质量评价工具开发与运用</w:t>
            </w:r>
          </w:p>
        </w:tc>
        <w:tc>
          <w:tcPr>
            <w:tcW w:w="2672"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万盛经济技术开发区教师进修学校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彭忍冬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中小学劳动教育课程开发的实践研究</w:t>
            </w:r>
          </w:p>
        </w:tc>
        <w:tc>
          <w:tcPr>
            <w:tcW w:w="2672"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万盛经济技术开发区教师进修学校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戴光会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核心素养导向的中职语文课堂教学变革研究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黔江区民族职业教育中心</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邓华锋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新时代中职学校劳动教育课程的实施路径研究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黔江区民族职业教育中心</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盘  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“三全育人”视域下中职汽修专业落实课程思政的实践路径研究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黔江区民族职业教育中心</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边远山区农村中学劳动教育本土资源开发和利用研究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城口县职业教育中心</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罗  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中等职业学校劳动教育课程的实施路径探索</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万盛职业教育中心</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杨杰玲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民族地区党史教育融入中小学思政课一体化建设实践研究——以黔江地方党史为例</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黔江新华中学校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黄星岐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家校共育视角下高中生心理健康教育实施路径研究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黔江新华中学校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周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PJY2022119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渝东南少数民族地区语文教学落实课程思政的实践路径研究——以黔江为例</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黔江新华中学校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  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新时代农村高中劳动教育课程评价的实践研究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黔江民族中学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“双减”背景下初中物理作业布置优化研究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黔江区新华初级中学校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王安章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信息技术与初中物理课堂教学的深度融合实践研究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黔江区新华初级中学校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王  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基于核心素养的初中化学单元教学设计与实施研究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黔江实验中学校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周世军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“双减”背景下学校作业优化与实施研究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黔江区沙坝镇中心学校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易炳华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核心素养导向的高中历史课堂教学变革研究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秦雪娇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基于核心素养的初中物理实验教学研究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涪陵第十四中学校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付体军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核心素养导向的初中数学课例研究与实践</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涪陵第十四中学校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何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“双减”背景下高中英语作业优化与实施研究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涪陵第五中学校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兰操明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PJY2022129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新高考背景下英语读后续写教育探究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涪陵第五中学校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韦  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德智体美劳全面培养校本课程体系的构建与评价研究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巴南实验中学校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王兴兵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化学学科核心素养导向的课堂教学变革案例分析</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永川区北山中学校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姜婷婷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城区中学劳动教育探索</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永川区昌南中学校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罗  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新课标视阈下中小学道德与法治课程一体化设计与实践研究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陈历利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初中综合材料美育课程开发的实践研究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永川区凤凰湖中学校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蒋世会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新课标下实物史料的开发与研究——以凤凰湖中学学生家中的资源为例</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永川区凤凰湖中学校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陈小义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基于核心素养的初中历史单元教学设计与实施策略研究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永川区萱花中学校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李方贵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基于教学评一体化的初中语文大单元学习设计研究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永川区文昌中学校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郭咏梅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“双减”政策下初中学生过程性评价实效性的研究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南川区书院中学校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吴  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PJY2022139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实践育人视域下高中思政课活动化教学评价策略研究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南川道南中学校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刘  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县域中学生科学素养能力评价策略研究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南川道南中学校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吴洪梅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县域中学劳动教育校本课程评价体系研究——以道南中学为例</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南川道南中学校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普通高中家校社协同推进劳动育人实践研究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大足第一中学校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沈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五育并举下高中生综合活动课程开发与学生综合素质评价的实践研究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大足第一中学校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刘硕情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在新课标下，乡镇初中英语课堂教学评价研究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铜梁区安居初级中学校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“双减”背景下中学作业优化设计实践研究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铜梁一中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基于核心素养的高中政治单元教学设计和实施策略研究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铜梁二中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张达勇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基于教学评一体化的高中英语记叙文类大单元教学设计研究----以新人教版为例</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铜梁二中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周有龙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基于核心素养的初中语文单元读写结合教学设计研究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铜梁二中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PJY2022149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学习任务群视域下高中语文作业情境化设计策略研究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铜梁二中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旷腾飞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提升课后服务质量研究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潼南第一中学校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何金凤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基于核心素养的高中体育篮球模块大单元教学设计与实践研究—以潼南区为例</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潼南第一中学校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彭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新课标背景下农村初中数学“维度素+区块化”作业设计实验研究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潼南区塘坝初级中学校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廖浚江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新课改背景下初中数学走班教学交叉管理有效策略研究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潼南区巴川中学校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孟天才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党史教育在初中道德与法治课堂中的融入研究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荣昌区宝城初级中学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皮  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基于教学评一体化的初中语文大单元学习设计研究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荣昌区宝城初级中学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胡  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农村中学校特殊家庭学生的家庭教育指导实践研究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荣昌区仁义中学校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肖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新高考背景下农村中学职业生涯规划与英语学科融合实践研究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荣昌区仁义中学校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段  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“双减”背景下城镇初中课后体育服务提质策略研究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荣昌区初级中学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赖长金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PJY2022159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古代散文教学中学生语言表达能力培养研究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宋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“双减”背景下高中英语“三判五评”教学评价改革实践研究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刘君杰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“课程思政”视域下高中英语阅读教学中提升学生文化自信的实践研究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曹  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新课程标准下学科教学融入劳动教育的实践研究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荣昌区初级中学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  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“双减”背景下“氧化还原反应与离子反应”为例的高效作业分层设计与应用研究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梁平中学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吴  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基于教学行为分析的课堂教学优化研究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梁平区屏锦中学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课后延时服务与育人研究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梁平区屏锦中学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  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提高学生创新思维能力的活动课程设置策略研究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重庆市梁平中学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仇  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边远山区初中生班级自主管理路径研究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重庆师范大学附属城口实验中学校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王显奎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义务教育阶段初中学科课程过程性评价的实践性研究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忠县中学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周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PJY2022169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“双减”背景下学校作业优化与实施的实践研究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忠县中学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魏晓樱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核心素养下高中化学教学中培养学生创新精神的实践研究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忠县忠州中学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李五海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核心素养导向的农村中学课堂教学变革的研究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忠县民族中学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陶斯国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基于学生发展核心素养提升的学校德育评价体系研究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忠县民族中学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周汉梅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“双减”背景下学校作业优化与实施的实践研究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忠县新立中学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赵志洋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五育并举理念下的农村中学生综合素质评价研究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忠县白石初级中学校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方  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基于英语学科核心素养的高中英语渗透心理健康教育的途径与评价研究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开州区丰乐中学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叶道静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三峡库区幼小初学段小规模学校“吸附能力”提升策略研究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云阳县盛堡初级中学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熊维建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高中生综合实践课程的开发实践研究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奉节中学校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刘三忠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“双减”背景下民族地区城区中学艺术教育实践路径的策略研究——以石柱民族中学为例</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石柱民族中学校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苟群芳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PJY2022179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“双减”政策下少数民族地区中学生综合素质评价的有效性研究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石柱民族中学校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谭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新课标下的中学“教－学－评一致性”研究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石柱县西沱中学校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蒋　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“双减”背景下初中数学校本单元作业优化与实施的实践研究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石柱县南宾中学校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　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教学评一致性理念在初中学科教学中的实践应用</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石柱县三河中学校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冉  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“双减”背景下民族地区农村中学作业优化与实施的实践研究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石柱县大歇中学校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冉  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渝东南少数民族地区高中课程思政教育的实施策略研究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秀山高级中学校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李生仁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新课标下“教-学-评”一体化的初中英语阅读教学设计研究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秀山县第一初级中学校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刘桂英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基于文本特质的初中语文统编教材单元专题学习实践与评价研究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万盛经开区溱州中学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任小英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“双减”背景下高中数学作业优化与实施的实践研究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重庆市第四十九中学校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基于地方工业遗产的普通高中综合实践活动研究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重庆市第四十九中学校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成尚芬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PJY2022189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核心素养体系下的物理大单元教学设计与评价研究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重庆市第104中学校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张启霏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基于核心素养理念下的高中生物单元作业设计研究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重庆市礼嘉中学校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陈  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基于核心素养的高中英语单元整体教学策略研究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重庆市礼嘉中学校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袁  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基于智慧教育的高中数学单元教学设计与实施研究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两江育才中学校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  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核心素养导向下，深度阅读古诗词传承中华优秀文化的实践研究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两江育才中学校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王  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中学家校协同育人课程体系实践研究--以家长学校课程建设为例</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两江育才中学校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何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“双减”背景下学校体育作业优化与实施的实践研究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两江育才中学校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  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新时代家校协同育人策略研究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黔江区正阳小学校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  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新时代小学生劳动教育评价研究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黔江区城西小学校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新时代小学高段劳动教育课程的实施策略研究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黔江区育才小学校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  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PJY2022199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基于核心素养的小学语文单元主题式教学设计与实施研究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黔江区育才小学校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胡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小学语文“思辨性阅读与表达”任务群教学评价研究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黔江区正阳小学校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刘红涛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小学语文“文学阅读与创意表达”任务群教学评价现状及其优化策略研究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黔江区民族小学校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卢丽兰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农村小学小班化高质量作业设计研究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黔江区金洞乡中心小学校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莫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小学语文学科课堂教学评价有效性研究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黔江区实验小学校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吴双江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小学语文作业设计与创新实践研究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黔江区新华小学校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韩宗玲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义务教育阶段语文作业评价实践研究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黔江区阿蓬江镇中心小学校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敖  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教师课堂评价语言运用的问题及对策研究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黔江区阿蓬江镇中心小学校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李才琴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基于核心素养的小学高段数学高质量作业设计研究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黔江区人民小学校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侯  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“双减”背景下学校作业优化与实施的实践研究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黔江区正阳小学校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马俊华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PJY2022209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基于学生发展核心素养提升的学校德育评价体系研究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黔江区实验小学校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任  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核心素养下的语文高段高质量作业设计的实践研究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黔江区万涛中心小学校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安  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 背景下小学低段语文课堂作业评价研究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黔江区万涛中心小学校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张宗寿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“双减”背景下分层作业设计与实施效果跟踪研究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涪陵城区第七小学校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蒋  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“双减”背景下城区小学数学作业设计及评价研究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涪陵城区实验小学校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周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小学数学课堂教学中的数学文化渗透策略研究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涪陵城区第六小学校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杨知青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城乡结合部小学劳动教育有效性研究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涪陵城区第十四小学校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提升课后服务质量研究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涪陵区珍溪镇中峰小学校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谭明生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乡村振兴背景下农村学校小学生综合素质评价实践研究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涪陵区珍溪镇中峰小学校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  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小学数学教师新课程标准执行度研究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九龙坡区田坝小学校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陈桂燕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PJY2022219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小学语文阅读思维能力训练有效性策略研究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永川区萱花小学校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罗章轩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基于“五育”发展的校本课程体系构建与评价研究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永川区上游小学校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严民川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“双减”背景下幼小衔接校本课程体系构建与实践研究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永川区实验小学校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王开红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探究式种植劳动教育提升学生劳动素养实践研究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永川区五洲小学校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“双减”背景下课后服务优化与实施研究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南川区隆化第五小学校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农村小学盆栽校本课程开发与实施效果研究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南川区木凉镇中心小学校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“双减”背景下小学作业优化与实施效果研究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南川区隆化第六小学校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  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小学劳动教育课程开发实践研究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南川区隆化第六小学校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彭  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基于核心素养的小学数学教学与评价实践研究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大足区龙水镇沙桥中心小学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  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小学英语单元整体教学作业设计质量研究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大足区龙水镇沙桥中心小学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张红彬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PJY2022229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“双减”背景下提升小学体育课后服务质量研究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铜梁区玉泉小学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李兴海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小学语文阅读策略大单元整体教学优化研究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铜梁区平滩镇白鹤小学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唐小春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新时代青少年劳动教育评价体系研究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潼南区人民小学校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蒋明明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“双减”背景下农村小学数学作业水平实践研究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荣昌区河包镇中心小学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雷卫东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小学劳动教育资源选用标准研究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荣昌区学院路小学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城区小学劳动教育实施路径及优化研究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荣昌区高新区实验小学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翁邦智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劳动教育融入小学学科教学实践策略及效果研究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梁平区泰和小学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诸志丽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“和美劳动”校本课程开发与评价实践研究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梁平区泰和小学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王洪明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“双减”视域下义务教育自主课堂建构与评价研究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开州区大丘小学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  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后疫情时代融通美育和劳动教育的粘贴画校本课程构建与评价研究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开州区大丘小学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明  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PJY2022239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小学心理健康教育有效性跟踪研究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开州区汉丰第四小学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吴成枝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基于汉丰湖资源的美术校本课程开发实施与评价研究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开州区汉丰第四小学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伍贤华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家校合作提升语文核心素养途径与效果研究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开州区汉丰第五小学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谭润兰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基于“德润童心”的书法教育与美育融合实施与评价研究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开州区汉丰第一小学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邱龙国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“双减”背景下小学数学作业优化与实施实践研究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开州区汉丰第一小学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魏全胜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基于立德树人的幼小衔接课程实施与评价研究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开州区厚坝镇中心小学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肖  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儿童线描画校本课程实施与评价研究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开州区文峰小学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严明双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九年一贯制学校劳动课程一体化构建与评价研究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开州区歇马小学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  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“双减”背景下的小学劳动教育实施路径与评价体系研究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奉节县诗城路小学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赵兰敏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探讨幼小衔接在幼儿园阶段存在的问题与策略</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奉节县诗城路小学</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  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PJY2022249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乡村振兴背景下农村学校小学生综合素质评价实践研究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石柱县马武小学校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姚亚军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双减背景下的农村小学数学课堂智慧教学评价策略研究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秀山县石堤镇中心校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白开军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“双减”背景下农村小学课后服务质量提升实践与评价研究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酉阳自治县民族小学校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朱镕江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“双减”背景下小学英语作业优化与实施的实践评价研究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酉阳自治县民族小学校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凡统江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农村小学家校共育视角下“特殊儿童”教育评价研究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酉阳自治县桃花源小学校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张黎红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“双减”背景下民族地区乡镇小学“1+T+X特色课辅”资源开发与实施及评价研究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酉阳自治县麻旺镇中心校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齐心刚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小学劳动教育课程开发的实践研究及评价体系体系探索</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两江新区翠云小学校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桂素余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核心素养视域下小学课堂学习评价模式研究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两江新区云慧小学校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胡钰铭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基于向儿童学习理念下的童心小学校园英语口语校本课程实施与评价策略研究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两江新区童心小学校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唐  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新课标下推行“学习共同体责任制”的评价实践研究---以小学数学教学为例</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两江新区礼嘉实验小学校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陆诗靓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PJY2022259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基于核心素养的小学数学跨学科专业设计与评价研究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两江新区礼嘉实验小学校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刘玲玲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“双减”背景下小学低段数学作业设计与评价优化实践研究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两江新区礼嘉实验小学校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曾冬梅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“双减”背景下小学低段语文作业设计与评价优化研究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两江新区礼嘉实验小学校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汪子夜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基于“双减”的城区小学语文作业设计及评价研究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两江新区星光学校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陈亚英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小学语文跨学科习作教学创意表达及评价研究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两江新区星光学校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王佳艺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小学“智慧劳育”课程的系统设计与数学评价研究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两江新区行远小学校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杨娅莉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幼儿园全园互动角色游戏中教师指导，提高幼儿社会准备的研究和实践</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永川区来苏幼儿园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范  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劳动教育视域下农村幼儿生活习惯培养效果评价指标体系的构建</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永川区大安中心幼儿园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欧阳晓芳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PJY2022267</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幼小衔接视角下幼儿学习品质的评价研究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南川区隆化实验幼儿园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李路燕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PJY2022268</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幼儿语言学习与发展评价实践研究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大足区宝顶镇中心幼儿园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黎春燕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PJY2022269</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幼儿园一日活动中劳动教育课程开发与评价的实践研究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大足区昌州幼儿园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丁晓燕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PJY2022270</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基于足球游戏的幼儿园发展评价策略与实践研究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大足区昌州幼儿园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黄  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PJY2022271</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幼小衔接视角下大班幼儿自我管理能力评价的实践研究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铜梁区实验幼儿园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龚  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PJY2022272</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乡镇幼儿园民间体育游戏课程开发与评价研究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潼南区寿桥镇中心幼儿园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樊美君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PJY2022273</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幼小衔接背景下农村幼儿园运用家园合作提升大班幼儿阅读素养的策略及评价研究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潼南区古溪镇幼儿园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杨  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PJY2022274</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基于地方资源的园本艺术课程开发及评价研究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潼南区琼江幼儿园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陈  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PJY2022275</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信息技术支持家园合作的儿童发展评价策略研究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潼南区潼樾府幼儿园</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邓小芳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PJY2022276</w:t>
            </w:r>
          </w:p>
        </w:tc>
        <w:tc>
          <w:tcPr>
            <w:tcW w:w="4551" w:type="dxa"/>
            <w:vAlign w:val="center"/>
          </w:tcPr>
          <w:p>
            <w:pPr>
              <w:keepNext w:val="0"/>
              <w:keepLines w:val="0"/>
              <w:widowControl/>
              <w:suppressLineNumbers w:val="0"/>
              <w:jc w:val="both"/>
              <w:textAlignment w:val="center"/>
              <w:rPr>
                <w:vertAlign w:val="baseline"/>
              </w:rPr>
            </w:pPr>
            <w:r>
              <w:rPr>
                <w:rFonts w:hint="eastAsia" w:ascii="宋体" w:hAnsi="宋体" w:eastAsia="宋体" w:cs="宋体"/>
                <w:i w:val="0"/>
                <w:iCs w:val="0"/>
                <w:color w:val="000000"/>
                <w:kern w:val="0"/>
                <w:sz w:val="24"/>
                <w:szCs w:val="24"/>
                <w:u w:val="none"/>
                <w:lang w:val="en-US" w:eastAsia="zh-CN" w:bidi="ar"/>
              </w:rPr>
              <w:t>双向互动视域下对幼儿入学准备能力评价的实践研究</w:t>
            </w:r>
          </w:p>
        </w:tc>
        <w:tc>
          <w:tcPr>
            <w:tcW w:w="2672"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两江新区星湖学</w:t>
            </w:r>
            <w:bookmarkStart w:id="0" w:name="_GoBack"/>
            <w:bookmarkEnd w:id="0"/>
            <w:r>
              <w:rPr>
                <w:rFonts w:hint="eastAsia" w:ascii="宋体" w:hAnsi="宋体" w:eastAsia="宋体" w:cs="宋体"/>
                <w:i w:val="0"/>
                <w:iCs w:val="0"/>
                <w:color w:val="000000"/>
                <w:kern w:val="0"/>
                <w:sz w:val="24"/>
                <w:szCs w:val="24"/>
                <w:u w:val="none"/>
                <w:lang w:val="en-US" w:eastAsia="zh-CN" w:bidi="ar"/>
              </w:rPr>
              <w:t>校</w:t>
            </w:r>
          </w:p>
        </w:tc>
        <w:tc>
          <w:tcPr>
            <w:tcW w:w="1277"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4"/>
                <w:szCs w:val="24"/>
                <w:u w:val="none"/>
                <w:lang w:val="en-US" w:eastAsia="zh-CN" w:bidi="ar"/>
              </w:rPr>
              <w:t>舒  俊</w:t>
            </w:r>
          </w:p>
        </w:tc>
      </w:tr>
    </w:tbl>
    <w:p/>
    <w:sectPr>
      <w:pgSz w:w="11906" w:h="16838"/>
      <w:pgMar w:top="1440" w:right="1009" w:bottom="1440" w:left="95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GFjZmY4ZmRkMTM2MWFiOGQ0NDM5NzgwMjc3M2UifQ=="/>
  </w:docVars>
  <w:rsids>
    <w:rsidRoot w:val="00000000"/>
    <w:rsid w:val="245F76F4"/>
    <w:rsid w:val="263C30B2"/>
    <w:rsid w:val="2B975A8A"/>
    <w:rsid w:val="31EA5447"/>
    <w:rsid w:val="36AC1B3D"/>
    <w:rsid w:val="43C04259"/>
    <w:rsid w:val="46D42B2D"/>
    <w:rsid w:val="5BFF4584"/>
    <w:rsid w:val="64357EF4"/>
    <w:rsid w:val="691174EB"/>
    <w:rsid w:val="6C6A2C41"/>
    <w:rsid w:val="716512B2"/>
    <w:rsid w:val="77F8133C"/>
    <w:rsid w:val="78BC253A"/>
    <w:rsid w:val="79534C4C"/>
    <w:rsid w:val="7F48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hint="eastAsia" w:ascii="宋体" w:hAnsi="宋体" w:eastAsia="宋体" w:cs="宋体"/>
      <w:color w:val="000000"/>
      <w:sz w:val="21"/>
      <w:szCs w:val="21"/>
      <w:u w:val="none"/>
    </w:rPr>
  </w:style>
  <w:style w:type="character" w:customStyle="1" w:styleId="6">
    <w:name w:val="font31"/>
    <w:basedOn w:val="4"/>
    <w:qFormat/>
    <w:uiPriority w:val="0"/>
    <w:rPr>
      <w:rFonts w:hint="eastAsia" w:ascii="宋体" w:hAnsi="宋体" w:eastAsia="宋体" w:cs="宋体"/>
      <w:color w:val="000000"/>
      <w:sz w:val="21"/>
      <w:szCs w:val="21"/>
      <w:u w:val="none"/>
    </w:rPr>
  </w:style>
  <w:style w:type="character" w:customStyle="1" w:styleId="7">
    <w:name w:val="font41"/>
    <w:basedOn w:val="4"/>
    <w:qFormat/>
    <w:uiPriority w:val="0"/>
    <w:rPr>
      <w:rFonts w:hint="eastAsia" w:ascii="宋体" w:hAnsi="宋体" w:eastAsia="宋体" w:cs="宋体"/>
      <w:color w:val="FF0000"/>
      <w:sz w:val="21"/>
      <w:szCs w:val="21"/>
      <w:u w:val="none"/>
    </w:rPr>
  </w:style>
  <w:style w:type="character" w:customStyle="1" w:styleId="8">
    <w:name w:val="font51"/>
    <w:basedOn w:val="4"/>
    <w:qFormat/>
    <w:uiPriority w:val="0"/>
    <w:rPr>
      <w:rFonts w:hint="eastAsia" w:ascii="宋体" w:hAnsi="宋体" w:eastAsia="宋体" w:cs="宋体"/>
      <w:color w:val="000000"/>
      <w:sz w:val="24"/>
      <w:szCs w:val="24"/>
      <w:u w:val="none"/>
    </w:rPr>
  </w:style>
  <w:style w:type="character" w:customStyle="1" w:styleId="9">
    <w:name w:val="font11"/>
    <w:basedOn w:val="4"/>
    <w:uiPriority w:val="0"/>
    <w:rPr>
      <w:rFonts w:hint="eastAsia" w:ascii="宋体" w:hAnsi="宋体" w:eastAsia="宋体" w:cs="宋体"/>
      <w:color w:val="000000"/>
      <w:sz w:val="24"/>
      <w:szCs w:val="24"/>
      <w:u w:val="none"/>
    </w:rPr>
  </w:style>
  <w:style w:type="character" w:customStyle="1" w:styleId="10">
    <w:name w:val="font01"/>
    <w:basedOn w:val="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2021-10-25T02:01:00Z</dcterms:created>
  <dc:creator>Lenovo</dc:creator>
  <cp:lastModifiedBy>ASUS</cp:lastModifiedBy>
  <cp:lastPrinted>2021-10-25T02:27:00Z</cp:lastPrinted>
  <dcterms:modified xsi:type="dcterms:W3CDTF">2023-02-01T03:21:52Z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3927B4A839A64F2D8C2084DA329510E5</vt:lpwstr>
  </property>
</Properties>
</file>