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2022年度优秀论文及典型案例认证证书下载步骤</w:t>
      </w:r>
    </w:p>
    <w:p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>
      <w:pPr>
        <w:rPr>
          <w:rFonts w:hint="default" w:ascii="方正黑体_GBK" w:hAnsi="方正黑体_GBK" w:eastAsia="方正黑体_GBK" w:cs="方正黑体_GBK"/>
          <w:sz w:val="24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  <w:t>第一步：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  <w:t>微信进入“渝教评会”小程序，点击“我的”</w:t>
      </w:r>
    </w:p>
    <w:p>
      <w:pPr>
        <w:jc w:val="center"/>
      </w:pPr>
      <w:r>
        <w:drawing>
          <wp:inline distT="0" distB="0" distL="114300" distR="114300">
            <wp:extent cx="3865245" cy="3390265"/>
            <wp:effectExtent l="0" t="0" r="1905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  <w:t>第二步：进去“个人中心”，点击“登录”</w:t>
      </w:r>
    </w:p>
    <w:p>
      <w:pPr>
        <w:rPr>
          <w:rFonts w:hint="default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3435350" cy="3155315"/>
            <wp:effectExtent l="0" t="0" r="12700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方正黑体_GBK" w:hAnsi="方正黑体_GBK" w:eastAsia="方正黑体_GBK" w:cs="方正黑体_GBK"/>
          <w:sz w:val="24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  <w:t>第三步：输入作者电话号码及登录密码，获取证书。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531870" cy="3826510"/>
            <wp:effectExtent l="0" t="0" r="11430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25685"/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ZGFiMWY0NzI3ZWMzZTZmNWU0YjhiMzBiYzVhZWYifQ=="/>
  </w:docVars>
  <w:rsids>
    <w:rsidRoot w:val="00000000"/>
    <w:rsid w:val="39361603"/>
    <w:rsid w:val="7D8B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89</Characters>
  <Lines>0</Lines>
  <Paragraphs>0</Paragraphs>
  <TotalTime>4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2022-06-14T02:00:00Z</dcterms:created>
  <dc:creator>Administrator</dc:creator>
  <cp:lastModifiedBy>Administrator</cp:lastModifiedBy>
  <dcterms:modified xsi:type="dcterms:W3CDTF">2023-05-16T09:02:50Z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0DE4051B23AB46FE92087E03EFF7815F</vt:lpwstr>
  </property>
</Properties>
</file>